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456"/>
        </w:tabs>
        <w:kinsoku/>
        <w:wordWrap/>
        <w:overflowPunct/>
        <w:topLinePunct w:val="0"/>
        <w:autoSpaceDE/>
        <w:autoSpaceDN/>
        <w:bidi w:val="0"/>
        <w:adjustRightInd/>
        <w:snapToGrid/>
        <w:spacing w:line="680" w:lineRule="exact"/>
        <w:ind w:right="0" w:rightChars="0"/>
        <w:jc w:val="both"/>
        <w:textAlignment w:val="auto"/>
        <w:outlineLvl w:val="9"/>
        <w:rPr>
          <w:rFonts w:hint="eastAsia" w:ascii="仿宋_GB2312" w:hAnsi="宋体" w:eastAsia="仿宋_GB2312"/>
          <w:b/>
          <w:sz w:val="32"/>
          <w:szCs w:val="32"/>
          <w:lang w:eastAsia="zh-CN"/>
        </w:rPr>
      </w:pPr>
    </w:p>
    <w:p>
      <w:pPr>
        <w:keepNext w:val="0"/>
        <w:keepLines w:val="0"/>
        <w:pageBreakBefore w:val="0"/>
        <w:widowControl w:val="0"/>
        <w:tabs>
          <w:tab w:val="center" w:pos="4456"/>
        </w:tabs>
        <w:kinsoku/>
        <w:wordWrap/>
        <w:overflowPunct/>
        <w:topLinePunct w:val="0"/>
        <w:autoSpaceDE/>
        <w:autoSpaceDN/>
        <w:bidi w:val="0"/>
        <w:adjustRightInd/>
        <w:snapToGrid/>
        <w:spacing w:line="680" w:lineRule="exact"/>
        <w:ind w:right="0" w:rightChars="0"/>
        <w:jc w:val="both"/>
        <w:textAlignment w:val="auto"/>
        <w:outlineLvl w:val="9"/>
        <w:rPr>
          <w:rFonts w:hint="eastAsia" w:ascii="仿宋_GB2312" w:hAnsi="宋体" w:eastAsia="仿宋_GB2312"/>
          <w:b/>
          <w:sz w:val="32"/>
          <w:szCs w:val="32"/>
          <w:lang w:eastAsia="zh-CN"/>
        </w:rPr>
      </w:pPr>
      <w:r>
        <w:rPr>
          <w:rFonts w:hint="eastAsia" w:ascii="仿宋_GB2312" w:hAnsi="宋体" w:eastAsia="仿宋_GB2312"/>
          <w:b/>
          <w:sz w:val="32"/>
          <w:szCs w:val="32"/>
          <w:lang w:eastAsia="zh-CN"/>
        </w:rPr>
        <w:t>学术交流</w:t>
      </w:r>
    </w:p>
    <w:p>
      <w:pPr>
        <w:keepNext w:val="0"/>
        <w:keepLines w:val="0"/>
        <w:pageBreakBefore w:val="0"/>
        <w:widowControl w:val="0"/>
        <w:tabs>
          <w:tab w:val="center" w:pos="4456"/>
        </w:tabs>
        <w:kinsoku/>
        <w:wordWrap/>
        <w:overflowPunct/>
        <w:topLinePunct w:val="0"/>
        <w:autoSpaceDE/>
        <w:autoSpaceDN/>
        <w:bidi w:val="0"/>
        <w:adjustRightInd/>
        <w:snapToGrid/>
        <w:spacing w:line="680" w:lineRule="exact"/>
        <w:ind w:left="0" w:leftChars="0" w:right="0" w:rightChars="0" w:firstLine="627" w:firstLineChars="196"/>
        <w:jc w:val="center"/>
        <w:textAlignment w:val="auto"/>
        <w:outlineLvl w:val="9"/>
        <w:rPr>
          <w:rFonts w:hint="eastAsia" w:ascii="仿宋_GB2312" w:hAnsi="宋体" w:eastAsia="仿宋_GB2312"/>
          <w:b/>
          <w:sz w:val="32"/>
          <w:szCs w:val="32"/>
        </w:rPr>
      </w:pPr>
      <w:bookmarkStart w:id="0" w:name="_GoBack"/>
      <w:bookmarkEnd w:id="0"/>
      <w:r>
        <w:rPr>
          <w:rFonts w:hint="eastAsia" w:ascii="仿宋_GB2312" w:hAnsi="宋体" w:eastAsia="仿宋_GB2312"/>
          <w:b/>
          <w:sz w:val="32"/>
          <w:szCs w:val="32"/>
        </w:rPr>
        <w:t>“城市·文化·经济”论坛</w:t>
      </w:r>
      <w:r>
        <w:rPr>
          <w:rFonts w:hint="eastAsia" w:ascii="仿宋_GB2312" w:hAnsi="宋体" w:eastAsia="仿宋_GB2312"/>
          <w:b/>
          <w:sz w:val="32"/>
          <w:szCs w:val="32"/>
          <w:lang w:eastAsia="zh-CN"/>
        </w:rPr>
        <w:t>在我校举行</w:t>
      </w:r>
    </w:p>
    <w:p>
      <w:pPr>
        <w:ind w:firstLine="656" w:firstLineChars="200"/>
        <w:rPr>
          <w:rFonts w:hint="eastAsia" w:ascii="仿宋_GB2312" w:hAnsi="宋体" w:eastAsia="仿宋_GB2312"/>
          <w:spacing w:val="24"/>
          <w:sz w:val="28"/>
          <w:szCs w:val="28"/>
        </w:rPr>
      </w:pPr>
    </w:p>
    <w:p>
      <w:pPr>
        <w:ind w:firstLine="656" w:firstLineChars="200"/>
        <w:rPr>
          <w:rFonts w:hint="eastAsia" w:ascii="仿宋_GB2312" w:hAnsi="宋体" w:eastAsia="仿宋_GB2312"/>
          <w:sz w:val="28"/>
          <w:szCs w:val="28"/>
        </w:rPr>
      </w:pPr>
      <w:r>
        <w:rPr>
          <w:rFonts w:hint="eastAsia" w:ascii="仿宋_GB2312" w:hAnsi="宋体" w:eastAsia="仿宋_GB2312"/>
          <w:spacing w:val="24"/>
          <w:sz w:val="28"/>
          <w:szCs w:val="28"/>
        </w:rPr>
        <w:t>2013年12月7日，我校历史系举办“城市·文化·经济”论坛。</w:t>
      </w:r>
      <w:r>
        <w:rPr>
          <w:rFonts w:hint="eastAsia" w:ascii="仿宋_GB2312" w:hAnsi="宋体" w:eastAsia="仿宋_GB2312"/>
          <w:sz w:val="28"/>
          <w:szCs w:val="28"/>
        </w:rPr>
        <w:t>论坛以“文化的视角解读城市经济现象，以经济的手段整合城市文化元素”为主题，围绕区域文化产业发展战略与规划、文化立市打造唐山文化产业品牌和文化产业发展的文化与人力资源支撑等议题进行了深入研讨。南京大学国家文化产业研究中心常务副主任顾江教授、南开大学滨海开发研究院院长助理马云泽博士等知名学者</w:t>
      </w:r>
      <w:r>
        <w:rPr>
          <w:rFonts w:hint="eastAsia" w:ascii="仿宋_GB2312" w:hAnsi="宋体" w:eastAsia="仿宋_GB2312"/>
          <w:spacing w:val="24"/>
          <w:sz w:val="28"/>
          <w:szCs w:val="28"/>
        </w:rPr>
        <w:t>做了主旨发言。</w:t>
      </w:r>
      <w:r>
        <w:rPr>
          <w:rFonts w:hint="eastAsia" w:ascii="仿宋_GB2312" w:hAnsi="宋体" w:eastAsia="仿宋_GB2312"/>
          <w:sz w:val="28"/>
          <w:szCs w:val="28"/>
        </w:rPr>
        <w:t>马云泽博士代表南开大学滨海开发研究院与历史文化与法学系签订合作意向书</w:t>
      </w:r>
      <w:r>
        <w:rPr>
          <w:rFonts w:hint="eastAsia" w:ascii="仿宋_GB2312" w:hAnsi="宋体" w:eastAsia="仿宋_GB2312"/>
          <w:b/>
          <w:sz w:val="28"/>
          <w:szCs w:val="28"/>
        </w:rPr>
        <w:t>。</w:t>
      </w:r>
      <w:r>
        <w:rPr>
          <w:rFonts w:hint="eastAsia" w:ascii="仿宋_GB2312" w:hAnsi="宋体" w:eastAsia="仿宋_GB2312"/>
          <w:spacing w:val="24"/>
          <w:sz w:val="28"/>
          <w:szCs w:val="28"/>
        </w:rPr>
        <w:t>曹妃甸湿地、滦州古城、开滦国家矿山公园、启新1889创意产业园等单位做了相关的产业发展展示和交流。</w:t>
      </w:r>
      <w:r>
        <w:rPr>
          <w:rFonts w:hint="eastAsia" w:ascii="仿宋_GB2312" w:hAnsi="宋体" w:eastAsia="仿宋_GB2312"/>
          <w:sz w:val="28"/>
          <w:szCs w:val="28"/>
        </w:rPr>
        <w:t>历史文化与法学系闫永增汇报了唐山工业遗产保护问题、沈芝做了关于拟成立唐山文化研究中心情况介绍，取得了与会学者的一致好评。（2013年12月9日第一版《唐山劳动日报》、2013年12月8日唐山电视台直播50分进行了报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12A24"/>
    <w:rsid w:val="79E723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2017-06-19T08:44:45Z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